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一、单项选择题</w:t>
      </w: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1．某社区有一下岗工人，家庭生活较困难。后来经社区服务中心介绍参加了就业技能的培训，并找到一份工作。此处涉及的是(</w:t>
      </w:r>
      <w:r>
        <w:rPr>
          <w:rFonts w:hint="eastAsia" w:asciiTheme="majorEastAsia" w:hAnsiTheme="majorEastAsia" w:eastAsiaTheme="majorEastAsia" w:cstheme="majorEastAsia"/>
          <w:sz w:val="21"/>
          <w:szCs w:val="21"/>
          <w:lang w:val="en-US" w:eastAsia="zh-CN"/>
        </w:rPr>
        <w:t xml:space="preserve">        </w:t>
      </w:r>
      <w:r>
        <w:rPr>
          <w:rFonts w:hint="eastAsia" w:asciiTheme="majorEastAsia" w:hAnsiTheme="majorEastAsia" w:eastAsiaTheme="majorEastAsia" w:cstheme="majorEastAsia"/>
          <w:sz w:val="21"/>
          <w:szCs w:val="21"/>
        </w:rPr>
        <w:t>)社会政策内容。</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A.失业保险</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B.公共医疗卫生政策</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C.劳动就业政策</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D.公共住房政策</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【C】解析：依据题意，因下岗工人获得了就业援助，这个是属于劳动就业政策的范畴，故选C。</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2．小黄是某地一个社会工作机构的专业社会工作者，服务于一个老年社会福利机构。一天，他上班时，机构负责人告诉他区里下发了一份文件，征求人们对政府提供购买服务的意见和建议。小黄坐到办公桌前，研究文件后提出了六点修改的意见建议。此后他离开办公室到多功能室为老年人开展自我认知的小组活动。在此，社会工作者扮演的角色是()。</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A.倡导者</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B.评估者</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C.服务提供者</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D.信息提供者各类考试</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A】解析：根据《教材》可以看出，"倡导者"是指社会工作者在社会政策制定过程中提出意见或建议的角色。题中政府出台文件并征求社会的意见建议，小黄作为机构的专职社会工作者，研究文件后提出了六点修改的意见建议，正好符合该定义，故选A。</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val="en-US" w:eastAsia="zh-CN"/>
        </w:rPr>
        <w:t>3</w:t>
      </w:r>
      <w:r>
        <w:rPr>
          <w:rFonts w:hint="eastAsia" w:asciiTheme="majorEastAsia" w:hAnsiTheme="majorEastAsia" w:eastAsiaTheme="majorEastAsia" w:cstheme="majorEastAsia"/>
          <w:sz w:val="21"/>
          <w:szCs w:val="21"/>
        </w:rPr>
        <w:t>、依照《法律援助条例》的规定，除()无须申请法律援助外，其他两种情况的公民要想获得法律援助均须提出申请。</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A．公诉（人民法院为被告人指定辩护时）B.代理C．刑事辩护D．民事诉讼</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【A】解析：本题考核的是法律援助的申请和审查程序。见《教材》第8 5页"（一）法律援助的申请程序"。</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val="en-US" w:eastAsia="zh-CN"/>
        </w:rPr>
        <w:t>4</w:t>
      </w:r>
      <w:r>
        <w:rPr>
          <w:rFonts w:hint="eastAsia" w:asciiTheme="majorEastAsia" w:hAnsiTheme="majorEastAsia" w:eastAsiaTheme="majorEastAsia" w:cstheme="majorEastAsia"/>
          <w:sz w:val="21"/>
          <w:szCs w:val="21"/>
        </w:rPr>
        <w:t>．根据《灾区民房重建工作规程》规定，以下哪一项不是政府帮助开展恢复重建的重点对象?()</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A.全倒户</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B.特困户</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C.低保户</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D.五保户</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【C】解析：本题考核的是灾后重建的内容。见《教材》第10 0 页的"4县级民政部门及有关部门：(2)确定重建对象"。</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val="en-US" w:eastAsia="zh-CN"/>
        </w:rPr>
        <w:t>5</w:t>
      </w:r>
      <w:r>
        <w:rPr>
          <w:rFonts w:hint="eastAsia" w:asciiTheme="majorEastAsia" w:hAnsiTheme="majorEastAsia" w:eastAsiaTheme="majorEastAsia" w:cstheme="majorEastAsia"/>
          <w:sz w:val="21"/>
          <w:szCs w:val="21"/>
        </w:rPr>
        <w:t>、各级民政、教育行政部门对持有城乡最低生活保障证和农村特困户救助证家庭的子女在义务教育阶段基本实现()。</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A.免杂费、免寄宿生活费</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B免书本费、免寄宿生活费</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C.补助寄宿生活费、免书本费</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D.免杂费、免书奉费、补助寄宿生活费</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【D】解析：本题考核的是城乡特殊困难未成年人教育救助的目标。见&lt;教材》第7 9页"（二）教育救助的目标"。</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val="en-US" w:eastAsia="zh-CN"/>
        </w:rPr>
        <w:t>6</w:t>
      </w:r>
      <w:r>
        <w:rPr>
          <w:rFonts w:hint="eastAsia" w:asciiTheme="majorEastAsia" w:hAnsiTheme="majorEastAsia" w:eastAsiaTheme="majorEastAsia" w:cstheme="majorEastAsia"/>
          <w:sz w:val="21"/>
          <w:szCs w:val="21"/>
        </w:rPr>
        <w:t>、《城市居民最低生活保障条例》对城市低保标准作出了一般性原则规定，即城市低保标准除按照当地维持城市居民基本生活所必需的衣、食、住费用确定之外，还需要适当考虑()。</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A．一般疾病的花销费用B．水电煤（燃气）费用</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C．必要的旅行交通费用D．老年人的丧葬费用</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【B】解析：本题考核的是城市低保标准确定的依据。见《教材》第6 6页"二、城市低保标准确定的依据"。</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val="en-US" w:eastAsia="zh-CN"/>
        </w:rPr>
        <w:t>7</w:t>
      </w:r>
      <w:r>
        <w:rPr>
          <w:rFonts w:hint="eastAsia" w:asciiTheme="majorEastAsia" w:hAnsiTheme="majorEastAsia" w:eastAsiaTheme="majorEastAsia" w:cstheme="majorEastAsia"/>
          <w:sz w:val="21"/>
          <w:szCs w:val="21"/>
        </w:rPr>
        <w:t>、小周，l6 岁，由于家庭困难需要申请教育救助。申请教育救助的申请人是()。</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A.小周的父母</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B．小周的近亲属</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C．小周本人或监护人</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D.小周所在地的居民委员会</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【C】解析：在我国城乡特殊困难未成年人的教育救助当中，由本人或监护人提出申请，村委会（社区居委会）调查核实，乡镇政府、城市街道办事处审核，县级民政部门复核、审批。</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val="en-US" w:eastAsia="zh-CN"/>
        </w:rPr>
        <w:t>8</w:t>
      </w:r>
      <w:r>
        <w:rPr>
          <w:rFonts w:hint="eastAsia" w:asciiTheme="majorEastAsia" w:hAnsiTheme="majorEastAsia" w:eastAsiaTheme="majorEastAsia" w:cstheme="majorEastAsia"/>
          <w:sz w:val="21"/>
          <w:szCs w:val="21"/>
        </w:rPr>
        <w:t xml:space="preserve"> ．张强，已参加城镇职工基本医疗保险，由于发生交通事故产生了一笔较大的治疗费用。故申请了城市医疗救助。最后，张强的医疗费用的来源有以下几种：基本医疗保险支付61  00 元，商业医疗保险支付80 0 0 元，单位报销16  00 0 元，社会捐助10  00  0元，医疗救助基金补助11  00 0 元，医院减免费用9 00 0 元，个人支付30  00 0 元。由此，可得出张强享受的城市医疗救助一共()元。</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A.23  00 0</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B.30  00 0</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C.36  90 0</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D.60  30 0</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【B】解析：城市医疗救助的形式主要有三种：社会力量资助、城市医疗救助基金补助、医疗机构自愿减免有关费用。由此可知，张强享受的城市医疗救助=社会捐助+医疗救助基金帮助+医院减免费用，即10  00 0 +11 0 0  0+90 0  0=30 0  00 （元）。</w:t>
      </w:r>
    </w:p>
    <w:p>
      <w:pPr>
        <w:bidi w:val="0"/>
        <w:rPr>
          <w:rFonts w:hint="eastAsia" w:asciiTheme="majorEastAsia" w:hAnsiTheme="majorEastAsia" w:eastAsiaTheme="majorEastAsia" w:cstheme="majorEastAsia"/>
          <w:sz w:val="21"/>
          <w:szCs w:val="21"/>
        </w:rPr>
      </w:pPr>
    </w:p>
    <w:p>
      <w:pPr>
        <w:widowControl/>
        <w:shd w:val="clear" w:color="auto" w:fill="F5FDFF"/>
        <w:bidi w:val="0"/>
        <w:spacing w:before="100" w:beforeAutospacing="1" w:after="240" w:line="420" w:lineRule="atLeast"/>
        <w:ind w:firstLine="480"/>
        <w:jc w:val="left"/>
        <w:rPr>
          <w:rFonts w:hint="eastAsia" w:asciiTheme="majorEastAsia" w:hAnsiTheme="majorEastAsia" w:eastAsiaTheme="majorEastAsia" w:cstheme="majorEastAsia"/>
          <w:color w:val="333333"/>
          <w:kern w:val="0"/>
          <w:sz w:val="21"/>
          <w:szCs w:val="21"/>
        </w:rPr>
      </w:pPr>
      <w:r>
        <w:rPr>
          <w:rFonts w:hint="eastAsia" w:asciiTheme="majorEastAsia" w:hAnsiTheme="majorEastAsia" w:eastAsiaTheme="majorEastAsia" w:cstheme="majorEastAsia"/>
          <w:color w:val="333333"/>
          <w:kern w:val="0"/>
          <w:sz w:val="21"/>
          <w:szCs w:val="21"/>
        </w:rPr>
        <w:t> </w:t>
      </w:r>
      <w:r>
        <w:rPr>
          <w:rFonts w:hint="eastAsia" w:asciiTheme="majorEastAsia" w:hAnsiTheme="majorEastAsia" w:eastAsiaTheme="majorEastAsia" w:cstheme="majorEastAsia"/>
          <w:color w:val="333333"/>
          <w:kern w:val="0"/>
          <w:sz w:val="21"/>
          <w:szCs w:val="21"/>
          <w:lang w:val="en-US" w:eastAsia="zh-CN"/>
        </w:rPr>
        <w:t>9</w:t>
      </w:r>
      <w:r>
        <w:rPr>
          <w:rFonts w:hint="eastAsia" w:asciiTheme="majorEastAsia" w:hAnsiTheme="majorEastAsia" w:eastAsiaTheme="majorEastAsia" w:cstheme="majorEastAsia"/>
          <w:color w:val="333333"/>
          <w:kern w:val="0"/>
          <w:sz w:val="21"/>
          <w:szCs w:val="21"/>
        </w:rPr>
        <w:t xml:space="preserve"> .丧偶妇女对公婆尽了主要赡养义务的，在继承公婆财产时应作为第几顺序继承人？()</w:t>
      </w:r>
    </w:p>
    <w:p>
      <w:pPr>
        <w:widowControl/>
        <w:shd w:val="clear" w:color="auto" w:fill="F5FDFF"/>
        <w:bidi w:val="0"/>
        <w:spacing w:before="100" w:beforeAutospacing="1" w:after="240" w:line="420" w:lineRule="atLeast"/>
        <w:ind w:firstLine="480"/>
        <w:jc w:val="left"/>
        <w:rPr>
          <w:rFonts w:hint="eastAsia" w:asciiTheme="majorEastAsia" w:hAnsiTheme="majorEastAsia" w:eastAsiaTheme="majorEastAsia" w:cstheme="majorEastAsia"/>
          <w:color w:val="333333"/>
          <w:kern w:val="0"/>
          <w:sz w:val="21"/>
          <w:szCs w:val="21"/>
        </w:rPr>
      </w:pPr>
      <w:r>
        <w:rPr>
          <w:rFonts w:hint="eastAsia" w:asciiTheme="majorEastAsia" w:hAnsiTheme="majorEastAsia" w:eastAsiaTheme="majorEastAsia" w:cstheme="majorEastAsia"/>
          <w:color w:val="333333"/>
          <w:kern w:val="0"/>
          <w:sz w:val="21"/>
          <w:szCs w:val="21"/>
        </w:rPr>
        <w:t>A．第一顺序</w:t>
      </w:r>
    </w:p>
    <w:p>
      <w:pPr>
        <w:widowControl/>
        <w:shd w:val="clear" w:color="auto" w:fill="F5FDFF"/>
        <w:bidi w:val="0"/>
        <w:spacing w:before="100" w:beforeAutospacing="1" w:after="240" w:line="420" w:lineRule="atLeast"/>
        <w:ind w:firstLine="480"/>
        <w:jc w:val="left"/>
        <w:rPr>
          <w:rFonts w:hint="eastAsia" w:asciiTheme="majorEastAsia" w:hAnsiTheme="majorEastAsia" w:eastAsiaTheme="majorEastAsia" w:cstheme="majorEastAsia"/>
          <w:color w:val="333333"/>
          <w:kern w:val="0"/>
          <w:sz w:val="21"/>
          <w:szCs w:val="21"/>
        </w:rPr>
      </w:pPr>
      <w:r>
        <w:rPr>
          <w:rFonts w:hint="eastAsia" w:asciiTheme="majorEastAsia" w:hAnsiTheme="majorEastAsia" w:eastAsiaTheme="majorEastAsia" w:cstheme="majorEastAsia"/>
          <w:color w:val="333333"/>
          <w:kern w:val="0"/>
          <w:sz w:val="21"/>
          <w:szCs w:val="21"/>
        </w:rPr>
        <w:t>B.第二顺序</w:t>
      </w:r>
    </w:p>
    <w:p>
      <w:pPr>
        <w:widowControl/>
        <w:shd w:val="clear" w:color="auto" w:fill="F5FDFF"/>
        <w:bidi w:val="0"/>
        <w:spacing w:before="100" w:beforeAutospacing="1" w:after="240" w:line="420" w:lineRule="atLeast"/>
        <w:ind w:firstLine="480"/>
        <w:jc w:val="left"/>
        <w:rPr>
          <w:rFonts w:hint="eastAsia" w:asciiTheme="majorEastAsia" w:hAnsiTheme="majorEastAsia" w:eastAsiaTheme="majorEastAsia" w:cstheme="majorEastAsia"/>
          <w:color w:val="333333"/>
          <w:kern w:val="0"/>
          <w:sz w:val="21"/>
          <w:szCs w:val="21"/>
        </w:rPr>
      </w:pPr>
      <w:r>
        <w:rPr>
          <w:rFonts w:hint="eastAsia" w:asciiTheme="majorEastAsia" w:hAnsiTheme="majorEastAsia" w:eastAsiaTheme="majorEastAsia" w:cstheme="majorEastAsia"/>
          <w:color w:val="333333"/>
          <w:kern w:val="0"/>
          <w:sz w:val="21"/>
          <w:szCs w:val="21"/>
        </w:rPr>
        <w:t>C.第三顺序</w:t>
      </w:r>
    </w:p>
    <w:p>
      <w:pPr>
        <w:widowControl/>
        <w:shd w:val="clear" w:color="auto" w:fill="F5FDFF"/>
        <w:bidi w:val="0"/>
        <w:spacing w:before="100" w:beforeAutospacing="1" w:after="240" w:line="420" w:lineRule="atLeast"/>
        <w:ind w:firstLine="480"/>
        <w:jc w:val="left"/>
        <w:rPr>
          <w:rFonts w:hint="eastAsia" w:asciiTheme="majorEastAsia" w:hAnsiTheme="majorEastAsia" w:eastAsiaTheme="majorEastAsia" w:cstheme="majorEastAsia"/>
          <w:color w:val="333333"/>
          <w:kern w:val="0"/>
          <w:sz w:val="21"/>
          <w:szCs w:val="21"/>
        </w:rPr>
      </w:pPr>
      <w:r>
        <w:rPr>
          <w:rFonts w:hint="eastAsia" w:asciiTheme="majorEastAsia" w:hAnsiTheme="majorEastAsia" w:eastAsiaTheme="majorEastAsia" w:cstheme="majorEastAsia"/>
          <w:color w:val="333333"/>
          <w:kern w:val="0"/>
          <w:sz w:val="21"/>
          <w:szCs w:val="21"/>
        </w:rPr>
        <w:t>D．第四顺序</w:t>
      </w:r>
    </w:p>
    <w:p>
      <w:pPr>
        <w:widowControl/>
        <w:shd w:val="clear" w:color="auto" w:fill="F5FDFF"/>
        <w:bidi w:val="0"/>
        <w:spacing w:before="100" w:beforeAutospacing="1" w:after="240" w:line="420" w:lineRule="atLeast"/>
        <w:ind w:firstLine="480"/>
        <w:jc w:val="left"/>
        <w:rPr>
          <w:rFonts w:hint="eastAsia" w:asciiTheme="majorEastAsia" w:hAnsiTheme="majorEastAsia" w:eastAsiaTheme="majorEastAsia" w:cstheme="majorEastAsia"/>
          <w:color w:val="333333"/>
          <w:kern w:val="0"/>
          <w:sz w:val="21"/>
          <w:szCs w:val="21"/>
        </w:rPr>
      </w:pPr>
      <w:r>
        <w:rPr>
          <w:rFonts w:hint="eastAsia" w:asciiTheme="majorEastAsia" w:hAnsiTheme="majorEastAsia" w:eastAsiaTheme="majorEastAsia" w:cstheme="majorEastAsia"/>
          <w:color w:val="333333"/>
          <w:kern w:val="0"/>
          <w:sz w:val="21"/>
          <w:szCs w:val="21"/>
        </w:rPr>
        <w:t>【A】解析：本题考核的是妇女合法权益的内容。见《教材&gt;第1 13 页。（四）财产权利的第二条"。</w:t>
      </w:r>
    </w:p>
    <w:p>
      <w:pPr>
        <w:widowControl/>
        <w:shd w:val="clear" w:color="auto" w:fill="F5FDFF"/>
        <w:bidi w:val="0"/>
        <w:spacing w:before="100" w:beforeAutospacing="1" w:after="240" w:line="420" w:lineRule="atLeast"/>
        <w:ind w:firstLine="480"/>
        <w:jc w:val="left"/>
        <w:rPr>
          <w:rFonts w:hint="eastAsia" w:asciiTheme="majorEastAsia" w:hAnsiTheme="majorEastAsia" w:eastAsiaTheme="majorEastAsia" w:cstheme="majorEastAsia"/>
          <w:color w:val="333333"/>
          <w:kern w:val="0"/>
          <w:sz w:val="21"/>
          <w:szCs w:val="21"/>
        </w:rPr>
      </w:pPr>
      <w:r>
        <w:rPr>
          <w:rFonts w:hint="eastAsia" w:asciiTheme="majorEastAsia" w:hAnsiTheme="majorEastAsia" w:eastAsiaTheme="majorEastAsia" w:cstheme="majorEastAsia"/>
          <w:color w:val="333333"/>
          <w:kern w:val="0"/>
          <w:sz w:val="21"/>
          <w:szCs w:val="21"/>
          <w:lang w:val="en-US" w:eastAsia="zh-CN"/>
        </w:rPr>
        <w:t>10</w:t>
      </w:r>
      <w:r>
        <w:rPr>
          <w:rFonts w:hint="eastAsia" w:asciiTheme="majorEastAsia" w:hAnsiTheme="majorEastAsia" w:eastAsiaTheme="majorEastAsia" w:cstheme="majorEastAsia"/>
          <w:color w:val="333333"/>
          <w:kern w:val="0"/>
          <w:sz w:val="21"/>
          <w:szCs w:val="21"/>
        </w:rPr>
        <w:t>．为保护未成年人，对违法犯罪的未成年人的下列做法哪一条是不正确的?()</w:t>
      </w:r>
    </w:p>
    <w:p>
      <w:pPr>
        <w:widowControl/>
        <w:shd w:val="clear" w:color="auto" w:fill="F5FDFF"/>
        <w:bidi w:val="0"/>
        <w:spacing w:before="100" w:beforeAutospacing="1" w:after="240" w:line="420" w:lineRule="atLeast"/>
        <w:ind w:firstLine="480"/>
        <w:jc w:val="left"/>
        <w:rPr>
          <w:rFonts w:hint="eastAsia" w:asciiTheme="majorEastAsia" w:hAnsiTheme="majorEastAsia" w:eastAsiaTheme="majorEastAsia" w:cstheme="majorEastAsia"/>
          <w:color w:val="333333"/>
          <w:kern w:val="0"/>
          <w:sz w:val="21"/>
          <w:szCs w:val="21"/>
        </w:rPr>
      </w:pPr>
      <w:r>
        <w:rPr>
          <w:rFonts w:hint="eastAsia" w:asciiTheme="majorEastAsia" w:hAnsiTheme="majorEastAsia" w:eastAsiaTheme="majorEastAsia" w:cstheme="majorEastAsia"/>
          <w:color w:val="333333"/>
          <w:kern w:val="0"/>
          <w:sz w:val="21"/>
          <w:szCs w:val="21"/>
        </w:rPr>
        <w:t>A.对司法活动中的未成年人进行司法救助</w:t>
      </w:r>
    </w:p>
    <w:p>
      <w:pPr>
        <w:widowControl/>
        <w:shd w:val="clear" w:color="auto" w:fill="F5FDFF"/>
        <w:bidi w:val="0"/>
        <w:spacing w:before="100" w:beforeAutospacing="1" w:after="240" w:line="420" w:lineRule="atLeast"/>
        <w:ind w:firstLine="480"/>
        <w:jc w:val="left"/>
        <w:rPr>
          <w:rFonts w:hint="eastAsia" w:asciiTheme="majorEastAsia" w:hAnsiTheme="majorEastAsia" w:eastAsiaTheme="majorEastAsia" w:cstheme="majorEastAsia"/>
          <w:color w:val="333333"/>
          <w:kern w:val="0"/>
          <w:sz w:val="21"/>
          <w:szCs w:val="21"/>
        </w:rPr>
      </w:pPr>
      <w:r>
        <w:rPr>
          <w:rFonts w:hint="eastAsia" w:asciiTheme="majorEastAsia" w:hAnsiTheme="majorEastAsia" w:eastAsiaTheme="majorEastAsia" w:cstheme="majorEastAsia"/>
          <w:color w:val="333333"/>
          <w:kern w:val="0"/>
          <w:sz w:val="21"/>
          <w:szCs w:val="21"/>
        </w:rPr>
        <w:t>B.应当依法从轻、减轻或者免除处罚</w:t>
      </w:r>
    </w:p>
    <w:p>
      <w:pPr>
        <w:widowControl/>
        <w:shd w:val="clear" w:color="auto" w:fill="F5FDFF"/>
        <w:bidi w:val="0"/>
        <w:spacing w:before="100" w:beforeAutospacing="1" w:after="240" w:line="420" w:lineRule="atLeast"/>
        <w:ind w:firstLine="480"/>
        <w:jc w:val="left"/>
        <w:rPr>
          <w:rFonts w:hint="eastAsia" w:asciiTheme="majorEastAsia" w:hAnsiTheme="majorEastAsia" w:eastAsiaTheme="majorEastAsia" w:cstheme="majorEastAsia"/>
          <w:color w:val="333333"/>
          <w:kern w:val="0"/>
          <w:sz w:val="21"/>
          <w:szCs w:val="21"/>
        </w:rPr>
      </w:pPr>
      <w:r>
        <w:rPr>
          <w:rFonts w:hint="eastAsia" w:asciiTheme="majorEastAsia" w:hAnsiTheme="majorEastAsia" w:eastAsiaTheme="majorEastAsia" w:cstheme="majorEastAsia"/>
          <w:color w:val="333333"/>
          <w:kern w:val="0"/>
          <w:sz w:val="21"/>
          <w:szCs w:val="21"/>
        </w:rPr>
        <w:t>C．坚持教育为主、惩罚为辅的原则</w:t>
      </w:r>
    </w:p>
    <w:p>
      <w:pPr>
        <w:widowControl/>
        <w:shd w:val="clear" w:color="auto" w:fill="F5FDFF"/>
        <w:bidi w:val="0"/>
        <w:spacing w:before="100" w:beforeAutospacing="1" w:after="240" w:line="420" w:lineRule="atLeast"/>
        <w:ind w:firstLine="480"/>
        <w:jc w:val="left"/>
        <w:rPr>
          <w:rFonts w:hint="eastAsia" w:asciiTheme="majorEastAsia" w:hAnsiTheme="majorEastAsia" w:eastAsiaTheme="majorEastAsia" w:cstheme="majorEastAsia"/>
          <w:color w:val="333333"/>
          <w:kern w:val="0"/>
          <w:sz w:val="21"/>
          <w:szCs w:val="21"/>
        </w:rPr>
      </w:pPr>
      <w:r>
        <w:rPr>
          <w:rFonts w:hint="eastAsia" w:asciiTheme="majorEastAsia" w:hAnsiTheme="majorEastAsia" w:eastAsiaTheme="majorEastAsia" w:cstheme="majorEastAsia"/>
          <w:color w:val="333333"/>
          <w:kern w:val="0"/>
          <w:sz w:val="21"/>
          <w:szCs w:val="21"/>
        </w:rPr>
        <w:t>D．未成年人犯罪案件公开审理</w:t>
      </w:r>
    </w:p>
    <w:p>
      <w:pPr>
        <w:widowControl/>
        <w:shd w:val="clear" w:color="auto" w:fill="F5FDFF"/>
        <w:bidi w:val="0"/>
        <w:spacing w:before="100" w:beforeAutospacing="1" w:after="240" w:line="420" w:lineRule="atLeast"/>
        <w:ind w:firstLine="480"/>
        <w:jc w:val="left"/>
        <w:rPr>
          <w:rFonts w:hint="eastAsia" w:asciiTheme="majorEastAsia" w:hAnsiTheme="majorEastAsia" w:eastAsiaTheme="majorEastAsia" w:cstheme="majorEastAsia"/>
          <w:color w:val="333333"/>
          <w:kern w:val="0"/>
          <w:sz w:val="21"/>
          <w:szCs w:val="21"/>
        </w:rPr>
      </w:pPr>
      <w:r>
        <w:rPr>
          <w:rFonts w:hint="eastAsia" w:asciiTheme="majorEastAsia" w:hAnsiTheme="majorEastAsia" w:eastAsiaTheme="majorEastAsia" w:cstheme="majorEastAsia"/>
          <w:color w:val="333333"/>
          <w:kern w:val="0"/>
          <w:sz w:val="21"/>
          <w:szCs w:val="21"/>
        </w:rPr>
        <w:t>【D】解析：本题考核的是对未成年人重新犯罪的预防。见《教材》第1 27 页"1.未成年人犯罪案件不公开审理和报道"。</w:t>
      </w:r>
    </w:p>
    <w:p>
      <w:pPr>
        <w:widowControl/>
        <w:numPr>
          <w:ilvl w:val="0"/>
          <w:numId w:val="1"/>
        </w:numPr>
        <w:shd w:val="clear" w:color="auto" w:fill="F5FDFF"/>
        <w:bidi w:val="0"/>
        <w:spacing w:before="100" w:beforeAutospacing="1" w:after="240" w:line="420" w:lineRule="atLeast"/>
        <w:jc w:val="left"/>
        <w:rPr>
          <w:rFonts w:hint="eastAsia" w:asciiTheme="majorEastAsia" w:hAnsiTheme="majorEastAsia" w:eastAsiaTheme="majorEastAsia" w:cstheme="majorEastAsia"/>
          <w:color w:val="333333"/>
          <w:kern w:val="0"/>
          <w:sz w:val="21"/>
          <w:szCs w:val="21"/>
          <w:lang w:eastAsia="zh-CN"/>
        </w:rPr>
      </w:pPr>
      <w:r>
        <w:rPr>
          <w:rFonts w:hint="eastAsia" w:asciiTheme="majorEastAsia" w:hAnsiTheme="majorEastAsia" w:eastAsiaTheme="majorEastAsia" w:cstheme="majorEastAsia"/>
          <w:color w:val="333333"/>
          <w:kern w:val="0"/>
          <w:sz w:val="21"/>
          <w:szCs w:val="21"/>
          <w:lang w:eastAsia="zh-CN"/>
        </w:rPr>
        <w:t>多选题</w:t>
      </w: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val="en-US" w:eastAsia="zh-CN"/>
        </w:rPr>
        <w:t>1</w:t>
      </w:r>
      <w:r>
        <w:rPr>
          <w:rFonts w:hint="eastAsia" w:asciiTheme="majorEastAsia" w:hAnsiTheme="majorEastAsia" w:eastAsiaTheme="majorEastAsia" w:cstheme="majorEastAsia"/>
          <w:sz w:val="21"/>
          <w:szCs w:val="21"/>
        </w:rPr>
        <w:t xml:space="preserve"> .社会政策目标之一是满足民生需要，中国的民生问题包括()。</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A.保护人权</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B.解决社会问题</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C．提高生活水平的需要</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D.社会环境友好的需要</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E.健康的需要</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解析：中国的民生问题包括：(1)衣食住行等基本生活需要；(2)就业的需要；(3)健康的需要；(4)教育和发展的需要；(5)提高生活水平的需要；(6)社会环境友好的需要；(7)其他方面的需要。</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val="en-US" w:eastAsia="zh-CN"/>
        </w:rPr>
        <w:t>2</w:t>
      </w:r>
      <w:r>
        <w:rPr>
          <w:rFonts w:hint="eastAsia" w:asciiTheme="majorEastAsia" w:hAnsiTheme="majorEastAsia" w:eastAsiaTheme="majorEastAsia" w:cstheme="majorEastAsia"/>
          <w:sz w:val="21"/>
          <w:szCs w:val="21"/>
        </w:rPr>
        <w:t xml:space="preserve"> 、政府调动资源方式主要包括()。</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A．征税</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B.私人募捐</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C．征收社会保险费</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D.专项收费</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E.发动与利用志愿者服务</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【AC  DE 】解析；私人募捐不是政府调动资源的方式。其余方式政府都较常用。</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val="en-US" w:eastAsia="zh-CN"/>
        </w:rPr>
        <w:t>3</w:t>
      </w:r>
      <w:r>
        <w:rPr>
          <w:rFonts w:hint="eastAsia" w:asciiTheme="majorEastAsia" w:hAnsiTheme="majorEastAsia" w:eastAsiaTheme="majorEastAsia" w:cstheme="majorEastAsia"/>
          <w:sz w:val="21"/>
          <w:szCs w:val="21"/>
        </w:rPr>
        <w:t xml:space="preserve"> ．城市居民最低生活保障制度中所涉及的"家庭成员收入"()。</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A．包括优抚对象按照国家规定享受的抚恤金</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B.包括共同生活的家庭成员的全部货币收入和实物收入</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C．是确定城市低保对象的关键</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D.包括法定赡养人、扶养人或者抚养人应当给付的赡养费、扶养费或者抚养费</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E.包括优抚对象按照国家规定享受的补助</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【BC  D】解析：本题考核的是城市低保的对象。见&lt;教材》第66 页（一）城市低保的对象。</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4 、法律援助案件的相关人员遇有下列情形之一的，应当向法律援助机构报告，法律援助机构经审查核实的，应当终止该项法律援助()。</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A.办理法律援助案件的人员向受援人收取财物</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B.受援人的经济收入状况发生变化，不再符合法律援助条件的</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C.案件终止审理或者已被撤销的</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D.受援人又自行委托律师或者其他代理人的</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E．受援人要求终止法律援助</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【BC D  E】解析：本题考核的是法律援助的实施。见《教材》第86 页三、法律援助的实施(4)。</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5 、根据《城市生活无着的流浪乞讨人员救助管理办法》的规定，救助站对流浪乞讨人员实行救助的内容不包括()。</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A.提供符合食品卫生要求的食物</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B.提供符合基本条件的住处</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C.对在站内突发急病的，及时送医院救治</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D.对流浪乞讨人员进行职业培训</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E.责令适龄的流浪乞讨人员接受义务教育</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【DE 】解析：本题考核的是流浪乞讨人员救助的内容。见《教材》第88 页(三)流浪乞讨人员救助的内容主要包括：提供符合食品卫生要求的食物；提供符合基本条件的住处；对在站内突发急病的，及时进医院救治；帮助与其亲属或者所在单位联系；对没有交通费返回其住所地或者所在单位的，提供乘车凭证。综上，D和E项不符。</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6 .下列哪些行为属于侵犯残疾人劳动权益行为？（）</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A.拒绝接收国家分配的高等学校、中等专业学校、技工学校的残疾毕业生</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B．残疾职工所在单位，不为残疾职工提供适应其特点的劳动条件和劳动保护</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C.政府有关部门下达职工招用、聘用指标时，没有确定一定数聘用于残疾人</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D.仅仅因为残疾而拒绝雇用有相应劳动能力的人为雇员</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E.企业或机构拒绝雇用17 岁的残疾人作为雇员</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【AB C  D】解析：本题考核的是残疾人合法权益的主要内容。见《教材》第13  5页（三）劳动权：3残疾人就业保护。</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7 ．女方在以下哪些情况下，男方不得提出离婚？()</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A．在终止妊辰六个月内</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B.心理出现问题</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C．出现重大疾病</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D.在怀孕期闻</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E．在分娩后一年内</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【AD E 】解析：离婚时对女方的特殊保护有三种情况：怀孕期间、分娩后一年内、终止妊娠后六个月内。</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8 ．收养人必须同时具备的条件为()。</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A.无子女</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B.有抚养教育被收养人的能力</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C．未患有在医学上认为不应当收养子女的疾病</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D.年满30 周岁</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E.有配偶的收养者须夫妻共同收养</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【AB C D  E】解析：按照收养法，AB C  DE 都符合。</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9 、甲1 99 1 年离家出走，杳无音讯。19 9 5 年其妻乙向人民法院申请甲宣告死亡，19 9 6 年人民法院依法宣告甲死亡，其房屋三间被其妻乙和其子丙继承。19 9  7年，妻乙带产改嫁，同年，乙又与后夫离婚。甲离家出走后，南下深圳，19 9 8 年因福利彩票中奖2 0万元。甲用该款购买股票，同年获利20 0 万元。19 9  8年11 月甲因饮酒过量心脏病发作死亡。经查，甲于1 99 7 年与丁在教堂举行了婚礼（但未办理婚姻登记），并生子戊。问甲的2 00 万元遗产的法定继承人是()。</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A.乙B.丙C．丁D.戊E.丙妻</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【BD 】解析：在甲死亡时，乙和丁都不是其合法配偶，不能参与甲的遗产继承。而丙是甲的婚生子，戊是甲的非婚生子，法律规定，婚生子女与非婚生子女享有同等的继承权，因此应选BD 。</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lang w:val="en-US" w:eastAsia="zh-CN"/>
        </w:rPr>
        <w:t>10</w:t>
      </w:r>
      <w:bookmarkStart w:id="0" w:name="_GoBack"/>
      <w:bookmarkEnd w:id="0"/>
      <w:r>
        <w:rPr>
          <w:rFonts w:hint="eastAsia" w:asciiTheme="majorEastAsia" w:hAnsiTheme="majorEastAsia" w:eastAsiaTheme="majorEastAsia" w:cstheme="majorEastAsia"/>
          <w:sz w:val="21"/>
          <w:szCs w:val="21"/>
        </w:rPr>
        <w:t xml:space="preserve"> 、社区矫正的内容主要包括()。</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A．改造罪犯</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B．惩罚罪犯</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C.教育矫正</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D.行为督导</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E．组织公益劳动</w:t>
      </w:r>
    </w:p>
    <w:p>
      <w:pPr>
        <w:bidi w:val="0"/>
        <w:rPr>
          <w:rFonts w:hint="eastAsia" w:asciiTheme="majorEastAsia" w:hAnsiTheme="majorEastAsia" w:eastAsiaTheme="majorEastAsia" w:cstheme="majorEastAsia"/>
          <w:sz w:val="21"/>
          <w:szCs w:val="21"/>
        </w:rPr>
      </w:pPr>
    </w:p>
    <w:p>
      <w:p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【CD E 】解析：社区矫正的内容主要包括以下三项：(1)行为督导。通过规定活动范围等方法t加强对矫正对象的有效控制，规范他们的行为，确保社区矫正工作的正常秩序，确保非监禁刑刑罚的有效执行：(2)教育矫正。教育矫正的主要内容包括政治思想教育、法律常识教育、公民道德教育、文化和职业技术教育、心理健康教育和劳动教育等。(3)组织公益劳动。定期组织矫正对象参加一定的公益劳动．增强对社会的责任感，改掉不良恶习，认罪服法，回归社会。</w:t>
      </w:r>
    </w:p>
    <w:p>
      <w:pPr>
        <w:widowControl/>
        <w:numPr>
          <w:ilvl w:val="0"/>
          <w:numId w:val="1"/>
        </w:numPr>
        <w:shd w:val="clear" w:color="auto" w:fill="F5FDFF"/>
        <w:bidi w:val="0"/>
        <w:spacing w:before="100" w:beforeAutospacing="1" w:after="240" w:line="420" w:lineRule="atLeast"/>
        <w:ind w:left="0" w:leftChars="0" w:firstLine="0" w:firstLineChars="0"/>
        <w:jc w:val="left"/>
        <w:rPr>
          <w:rFonts w:hint="eastAsia" w:asciiTheme="majorEastAsia" w:hAnsiTheme="majorEastAsia" w:eastAsiaTheme="majorEastAsia" w:cstheme="majorEastAsia"/>
          <w:color w:val="333333"/>
          <w:kern w:val="0"/>
          <w:sz w:val="21"/>
          <w:szCs w:val="21"/>
          <w:lang w:eastAsia="zh-CN"/>
        </w:rPr>
      </w:pPr>
      <w:r>
        <w:rPr>
          <w:rFonts w:hint="eastAsia" w:asciiTheme="majorEastAsia" w:hAnsiTheme="majorEastAsia" w:eastAsiaTheme="majorEastAsia" w:cstheme="majorEastAsia"/>
          <w:color w:val="333333"/>
          <w:kern w:val="0"/>
          <w:sz w:val="21"/>
          <w:szCs w:val="21"/>
          <w:lang w:eastAsia="zh-CN"/>
        </w:rPr>
        <w:t>简答题</w:t>
      </w:r>
    </w:p>
    <w:p>
      <w:pPr>
        <w:numPr>
          <w:ilvl w:val="0"/>
          <w:numId w:val="2"/>
        </w:numPr>
        <w:bidi w:val="0"/>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t>士官退役的条件可以概括为以下五种情2士官符合其中任何一种情况的，需退出现役：(l)服现役满本期规定的年限，未被批准继续服现役的。(2)服现役满30 年或者年满5 5岁的。(3)军队编制员额缩减需要退出现役的。(4)国家建设需要调出军队I(5)经驻军医院诊断证明本人健康状况不适于继续服现役的。</w:t>
      </w:r>
    </w:p>
    <w:p>
      <w:pPr>
        <w:numPr>
          <w:ilvl w:val="0"/>
          <w:numId w:val="2"/>
        </w:numPr>
        <w:bidi w:val="0"/>
        <w:rPr>
          <w:rFonts w:hint="default" w:asciiTheme="majorEastAsia" w:hAnsiTheme="majorEastAsia" w:eastAsiaTheme="majorEastAsia" w:cstheme="majorEastAsia"/>
          <w:sz w:val="21"/>
          <w:szCs w:val="21"/>
          <w:lang w:val="en-US" w:eastAsia="zh-CN"/>
        </w:rPr>
      </w:pPr>
      <w:r>
        <w:rPr>
          <w:rFonts w:hint="eastAsia" w:asciiTheme="majorEastAsia" w:hAnsiTheme="majorEastAsia" w:eastAsiaTheme="majorEastAsia" w:cstheme="majorEastAsia"/>
          <w:sz w:val="21"/>
          <w:szCs w:val="21"/>
        </w:rPr>
        <w:t>社区矫正的适用范围如下：被判处管制的；被宣告缓刑的；被暂予监外执行的</w:t>
      </w:r>
      <w:r>
        <w:rPr>
          <w:rFonts w:hint="eastAsia" w:asciiTheme="majorEastAsia" w:hAnsiTheme="majorEastAsia" w:eastAsiaTheme="majorEastAsia" w:cstheme="majorEastAsia"/>
          <w:sz w:val="21"/>
          <w:szCs w:val="21"/>
          <w:lang w:eastAsia="zh-CN"/>
        </w:rPr>
        <w:t>（包括裁定假释和在社会上服刑）</w:t>
      </w:r>
    </w:p>
    <w:p/>
    <w:p>
      <w:pPr>
        <w:numPr>
          <w:ilvl w:val="0"/>
          <w:numId w:val="1"/>
        </w:numPr>
        <w:ind w:left="0" w:leftChars="0" w:firstLine="0" w:firstLineChars="0"/>
        <w:rPr>
          <w:rFonts w:hint="eastAsia"/>
          <w:lang w:eastAsia="zh-CN"/>
        </w:rPr>
      </w:pPr>
      <w:r>
        <w:rPr>
          <w:rFonts w:hint="eastAsia"/>
          <w:lang w:eastAsia="zh-CN"/>
        </w:rPr>
        <w:t>案例分析题</w:t>
      </w:r>
    </w:p>
    <w:p>
      <w:pPr>
        <w:pStyle w:val="2"/>
        <w:spacing w:line="320" w:lineRule="exact"/>
        <w:rPr>
          <w:rFonts w:ascii="ˎ̥" w:hAnsi="ˎ̥"/>
          <w:color w:val="000000"/>
          <w:sz w:val="21"/>
          <w:szCs w:val="21"/>
        </w:rPr>
      </w:pPr>
      <w:r>
        <w:rPr>
          <w:rFonts w:hint="eastAsia"/>
          <w:lang w:eastAsia="zh-CN"/>
        </w:rPr>
        <w:t>思路：</w:t>
      </w:r>
      <w:r>
        <w:rPr>
          <w:color w:val="000000"/>
          <w:sz w:val="21"/>
          <w:szCs w:val="21"/>
        </w:rPr>
        <w:t xml:space="preserve"> 1、弄清怎样才算大树扰民。 </w:t>
      </w:r>
      <w:r>
        <w:rPr>
          <w:color w:val="000000"/>
          <w:sz w:val="21"/>
          <w:szCs w:val="21"/>
        </w:rPr>
        <w:br w:type="textWrapping"/>
      </w:r>
      <w:r>
        <w:rPr>
          <w:color w:val="000000"/>
          <w:sz w:val="21"/>
          <w:szCs w:val="21"/>
        </w:rPr>
        <w:t xml:space="preserve">    2、应充分探索和完善社区管理与服务中坚持“三位一体”的工作思路，有效整合社会资源，充分发挥有关各方的积极作用。 </w:t>
      </w:r>
      <w:r>
        <w:rPr>
          <w:color w:val="000000"/>
          <w:sz w:val="21"/>
          <w:szCs w:val="21"/>
        </w:rPr>
        <w:br w:type="textWrapping"/>
      </w:r>
      <w:r>
        <w:rPr>
          <w:color w:val="000000"/>
          <w:sz w:val="21"/>
          <w:szCs w:val="21"/>
        </w:rPr>
        <w:t xml:space="preserve">    3、居民区党支部应针对具体问题，及早介入，强化事前管理，避免矛盾激化。 </w:t>
      </w:r>
      <w:r>
        <w:rPr>
          <w:color w:val="000000"/>
          <w:sz w:val="21"/>
          <w:szCs w:val="21"/>
        </w:rPr>
        <w:br w:type="textWrapping"/>
      </w:r>
      <w:r>
        <w:rPr>
          <w:color w:val="000000"/>
          <w:sz w:val="21"/>
          <w:szCs w:val="21"/>
        </w:rPr>
        <w:t xml:space="preserve">    4、社区建设中应适时有目的地引导大家提倡换位思考，共建和谐社区。 </w:t>
      </w:r>
    </w:p>
    <w:p>
      <w:pPr>
        <w:numPr>
          <w:ilvl w:val="0"/>
          <w:numId w:val="0"/>
        </w:numPr>
        <w:ind w:leftChars="0"/>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ˎ̥">
    <w:altName w:val="Times New Roman"/>
    <w:panose1 w:val="00000000000000000000"/>
    <w:charset w:val="00"/>
    <w:family w:val="roman"/>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671D70"/>
    <w:multiLevelType w:val="singleLevel"/>
    <w:tmpl w:val="3C671D70"/>
    <w:lvl w:ilvl="0" w:tentative="0">
      <w:start w:val="2"/>
      <w:numFmt w:val="chineseCounting"/>
      <w:suff w:val="nothing"/>
      <w:lvlText w:val="%1，"/>
      <w:lvlJc w:val="left"/>
      <w:rPr>
        <w:rFonts w:hint="eastAsia"/>
      </w:rPr>
    </w:lvl>
  </w:abstractNum>
  <w:abstractNum w:abstractNumId="1">
    <w:nsid w:val="4AB9F17F"/>
    <w:multiLevelType w:val="singleLevel"/>
    <w:tmpl w:val="4AB9F17F"/>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B0690D"/>
    <w:rsid w:val="3CCA48ED"/>
    <w:rsid w:val="3F6842DD"/>
    <w:rsid w:val="5A091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2020-08-19T07:38:26Z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